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50" w:rsidRPr="00913AC7" w:rsidRDefault="00567A91" w:rsidP="00567A91">
      <w:pPr>
        <w:jc w:val="center"/>
      </w:pPr>
      <w:r w:rsidRPr="00913AC7">
        <w:t>КРАТКАЯ ТЕХНОЛОГИЧЕСКАЯ ИНСТРУКЦИЯ</w:t>
      </w:r>
    </w:p>
    <w:p w:rsidR="00567A91" w:rsidRPr="00913AC7" w:rsidRDefault="00E951A6" w:rsidP="00567A91">
      <w:pPr>
        <w:jc w:val="center"/>
      </w:pPr>
      <w:r w:rsidRPr="00913AC7">
        <w:t>по применению композиций</w:t>
      </w:r>
      <w:r w:rsidR="00567A91" w:rsidRPr="00913AC7">
        <w:t xml:space="preserve"> «Вектор</w:t>
      </w:r>
      <w:r w:rsidR="00BC2AFC" w:rsidRPr="00913AC7">
        <w:t xml:space="preserve"> - Мультилак</w:t>
      </w:r>
      <w:r w:rsidR="00567A91" w:rsidRPr="00913AC7">
        <w:t>»</w:t>
      </w:r>
      <w:r w:rsidR="00BC2AFC" w:rsidRPr="00913AC7">
        <w:t xml:space="preserve"> по бетону и теплоизоляции</w:t>
      </w:r>
    </w:p>
    <w:p w:rsidR="00567A91" w:rsidRPr="00913AC7" w:rsidRDefault="00567A91" w:rsidP="00567A91">
      <w:pPr>
        <w:jc w:val="center"/>
        <w:rPr>
          <w:sz w:val="20"/>
          <w:szCs w:val="20"/>
        </w:rPr>
      </w:pPr>
    </w:p>
    <w:p w:rsidR="00567A91" w:rsidRPr="00913AC7" w:rsidRDefault="00CB4F02" w:rsidP="00567A91">
      <w:pPr>
        <w:jc w:val="center"/>
      </w:pPr>
      <w:r w:rsidRPr="00913AC7">
        <w:t>ПОДГОТОВКА ПОВЕРХНОСТЕЙ ПЕРЕД ОКРАШИВАНИЕМ</w:t>
      </w:r>
    </w:p>
    <w:p w:rsidR="00A12AA0" w:rsidRPr="00913AC7" w:rsidRDefault="007210EA" w:rsidP="00A12AA0">
      <w:pPr>
        <w:pStyle w:val="a3"/>
        <w:jc w:val="both"/>
      </w:pPr>
      <w:r w:rsidRPr="00913AC7">
        <w:rPr>
          <w:b/>
        </w:rPr>
        <w:t>При п</w:t>
      </w:r>
      <w:r w:rsidR="00F87513" w:rsidRPr="00913AC7">
        <w:rPr>
          <w:b/>
        </w:rPr>
        <w:t>одготовк</w:t>
      </w:r>
      <w:r w:rsidRPr="00913AC7">
        <w:rPr>
          <w:b/>
        </w:rPr>
        <w:t>е</w:t>
      </w:r>
      <w:r w:rsidR="00B52A72" w:rsidRPr="00913AC7">
        <w:rPr>
          <w:b/>
        </w:rPr>
        <w:t xml:space="preserve"> бетонны</w:t>
      </w:r>
      <w:r w:rsidR="00F87513" w:rsidRPr="00913AC7">
        <w:rPr>
          <w:b/>
        </w:rPr>
        <w:t>х поверхнос</w:t>
      </w:r>
      <w:r w:rsidRPr="00913AC7">
        <w:rPr>
          <w:b/>
        </w:rPr>
        <w:t>тей</w:t>
      </w:r>
      <w:r w:rsidRPr="00913AC7">
        <w:t xml:space="preserve"> к окрашиванию выполняется:</w:t>
      </w:r>
    </w:p>
    <w:p w:rsidR="00B52A72" w:rsidRPr="00913AC7" w:rsidRDefault="00B52A72" w:rsidP="00695017">
      <w:pPr>
        <w:pStyle w:val="a3"/>
        <w:numPr>
          <w:ilvl w:val="0"/>
          <w:numId w:val="1"/>
        </w:numPr>
        <w:jc w:val="both"/>
      </w:pPr>
      <w:r w:rsidRPr="00913AC7">
        <w:t>Выдержка новых бетонных конструкций не менее 28 дней для набора прочности          и удаления влаги из конструкции. Остаточная влажность бетона не должна превышать 4%.</w:t>
      </w:r>
    </w:p>
    <w:p w:rsidR="00D87F26" w:rsidRPr="00913AC7" w:rsidRDefault="00A12AA0" w:rsidP="00036B78">
      <w:pPr>
        <w:pStyle w:val="a3"/>
        <w:numPr>
          <w:ilvl w:val="0"/>
          <w:numId w:val="1"/>
        </w:numPr>
        <w:jc w:val="both"/>
      </w:pPr>
      <w:r w:rsidRPr="00913AC7">
        <w:t>У</w:t>
      </w:r>
      <w:r w:rsidR="007210EA" w:rsidRPr="00913AC7">
        <w:t>даление</w:t>
      </w:r>
      <w:r w:rsidR="00F87513" w:rsidRPr="00913AC7">
        <w:t xml:space="preserve"> </w:t>
      </w:r>
      <w:r w:rsidR="00D87F26" w:rsidRPr="00913AC7">
        <w:t>цементного молочка, непрочно держащихся частиц бетона, высолов, масляных и иных загрязнений в соответствии со СНиП 3.04.03-85.</w:t>
      </w:r>
    </w:p>
    <w:p w:rsidR="00D87F26" w:rsidRPr="00913AC7" w:rsidRDefault="00D87F26" w:rsidP="00036B78">
      <w:pPr>
        <w:pStyle w:val="a3"/>
        <w:numPr>
          <w:ilvl w:val="0"/>
          <w:numId w:val="1"/>
        </w:numPr>
        <w:jc w:val="both"/>
      </w:pPr>
      <w:r w:rsidRPr="00913AC7">
        <w:t>Выравнивание (шпатлевание) поверхности с последующей сушкой (выполняется по необходимости</w:t>
      </w:r>
    </w:p>
    <w:p w:rsidR="00A12AA0" w:rsidRPr="00913AC7" w:rsidRDefault="007210EA" w:rsidP="00036B78">
      <w:pPr>
        <w:pStyle w:val="a3"/>
        <w:numPr>
          <w:ilvl w:val="0"/>
          <w:numId w:val="1"/>
        </w:numPr>
        <w:jc w:val="both"/>
      </w:pPr>
      <w:r w:rsidRPr="00913AC7">
        <w:t>Обеспыливание поверхности.</w:t>
      </w:r>
    </w:p>
    <w:p w:rsidR="00A865D0" w:rsidRPr="00913AC7" w:rsidRDefault="00D87F26" w:rsidP="00D87F26">
      <w:pPr>
        <w:ind w:left="708"/>
        <w:jc w:val="both"/>
      </w:pPr>
      <w:r w:rsidRPr="00913AC7">
        <w:t>При защите бетонных поверхностей, бывших в эксплуатации, рекомендуется обратиться к производителю материала</w:t>
      </w:r>
      <w:r w:rsidR="00E578D3" w:rsidRPr="00913AC7">
        <w:t>, или его официальным представителям для получения подробных консультаций.</w:t>
      </w:r>
    </w:p>
    <w:p w:rsidR="00E578D3" w:rsidRPr="00913AC7" w:rsidRDefault="00E951A6" w:rsidP="00D87F26">
      <w:pPr>
        <w:ind w:left="708"/>
        <w:jc w:val="both"/>
        <w:rPr>
          <w:b/>
        </w:rPr>
      </w:pPr>
      <w:r w:rsidRPr="00913AC7">
        <w:rPr>
          <w:b/>
        </w:rPr>
        <w:t>Подготовка поверхностей теплоизоляционных материалов</w:t>
      </w:r>
      <w:r w:rsidRPr="00913AC7">
        <w:t xml:space="preserve"> </w:t>
      </w:r>
      <w:r w:rsidRPr="00913AC7">
        <w:rPr>
          <w:b/>
        </w:rPr>
        <w:t xml:space="preserve">к окрашиванию </w:t>
      </w:r>
    </w:p>
    <w:p w:rsidR="00E951A6" w:rsidRPr="00913AC7" w:rsidRDefault="00E951A6" w:rsidP="00D87F26">
      <w:pPr>
        <w:ind w:left="708"/>
        <w:jc w:val="both"/>
      </w:pPr>
      <w:r w:rsidRPr="00913AC7">
        <w:t>Для нанесения композиций «Вектор-Мультилак» следует выбирать теплоизоляционные материалы или изделия (маты, скорлупы, плиты) с плотностью не менее 100 кг/м³ и ровной поверхностью.</w:t>
      </w:r>
    </w:p>
    <w:p w:rsidR="00E951A6" w:rsidRPr="00913AC7" w:rsidRDefault="00E951A6" w:rsidP="00D87F26">
      <w:pPr>
        <w:ind w:left="708"/>
        <w:jc w:val="both"/>
      </w:pPr>
      <w:r w:rsidRPr="00913AC7">
        <w:t>Для обработки теплоизоляционных материалов с плотностью менее 100 кг/м³ следует предварительно уплотнить их при помощи армирующих материалов (ткани, сетки) и наносить композиции</w:t>
      </w:r>
      <w:r w:rsidR="002E3341" w:rsidRPr="00913AC7">
        <w:t xml:space="preserve"> непосредственно по армирующим материалам.</w:t>
      </w:r>
    </w:p>
    <w:p w:rsidR="002E3341" w:rsidRPr="00913AC7" w:rsidRDefault="002E3341" w:rsidP="00D87F26">
      <w:pPr>
        <w:ind w:left="708"/>
        <w:jc w:val="both"/>
        <w:rPr>
          <w:sz w:val="20"/>
          <w:szCs w:val="20"/>
        </w:rPr>
      </w:pPr>
    </w:p>
    <w:p w:rsidR="00A865D0" w:rsidRPr="00913AC7" w:rsidRDefault="002E7245" w:rsidP="00A865D0">
      <w:pPr>
        <w:ind w:left="360"/>
        <w:jc w:val="center"/>
      </w:pPr>
      <w:r w:rsidRPr="00913AC7">
        <w:t>ПО</w:t>
      </w:r>
      <w:r w:rsidR="00A37C24" w:rsidRPr="00913AC7">
        <w:t>ДГОТОВКА КОМПОЗИЦИЙ «ВЕКТОР - МУЛЬТИЛАК</w:t>
      </w:r>
      <w:r w:rsidRPr="00913AC7">
        <w:t>» К ПРИМЕНЕНИЮ</w:t>
      </w:r>
    </w:p>
    <w:p w:rsidR="002E7245" w:rsidRPr="00913AC7" w:rsidRDefault="00CE5C4E" w:rsidP="00CE5C4E">
      <w:pPr>
        <w:pStyle w:val="a3"/>
        <w:numPr>
          <w:ilvl w:val="0"/>
          <w:numId w:val="2"/>
        </w:numPr>
        <w:jc w:val="both"/>
      </w:pPr>
      <w:r w:rsidRPr="00913AC7">
        <w:t xml:space="preserve">Открыть емкость с </w:t>
      </w:r>
      <w:r w:rsidR="00D52934" w:rsidRPr="00913AC7">
        <w:t xml:space="preserve">компонентом 2 </w:t>
      </w:r>
      <w:r w:rsidRPr="00913AC7">
        <w:t>(емкость большего объема).</w:t>
      </w:r>
    </w:p>
    <w:p w:rsidR="00CE5C4E" w:rsidRPr="00913AC7" w:rsidRDefault="00D41220" w:rsidP="00CE5C4E">
      <w:pPr>
        <w:pStyle w:val="a3"/>
        <w:numPr>
          <w:ilvl w:val="0"/>
          <w:numId w:val="2"/>
        </w:numPr>
        <w:jc w:val="both"/>
      </w:pPr>
      <w:r w:rsidRPr="00913AC7">
        <w:t xml:space="preserve">В случае использования </w:t>
      </w:r>
      <w:r w:rsidR="00D52934" w:rsidRPr="00913AC7">
        <w:t>пигментированных модификаций композиции следует п</w:t>
      </w:r>
      <w:r w:rsidRPr="00913AC7">
        <w:t>еремешать компонент 2</w:t>
      </w:r>
      <w:r w:rsidR="00CE5C4E" w:rsidRPr="00913AC7">
        <w:t xml:space="preserve"> до получения массы однородной консистенции (</w:t>
      </w:r>
      <w:r w:rsidRPr="00913AC7">
        <w:t>2-</w:t>
      </w:r>
      <w:r w:rsidR="00CE5C4E" w:rsidRPr="00913AC7">
        <w:t>5 минут           в зависимости от количества основы)</w:t>
      </w:r>
      <w:r w:rsidR="004C7DDA" w:rsidRPr="00913AC7">
        <w:t>.</w:t>
      </w:r>
    </w:p>
    <w:p w:rsidR="004C7DDA" w:rsidRPr="00913AC7" w:rsidRDefault="004C7DDA" w:rsidP="00CE5C4E">
      <w:pPr>
        <w:pStyle w:val="a3"/>
        <w:numPr>
          <w:ilvl w:val="0"/>
          <w:numId w:val="2"/>
        </w:numPr>
        <w:jc w:val="both"/>
      </w:pPr>
      <w:r w:rsidRPr="00913AC7">
        <w:t>Открыть емкость с</w:t>
      </w:r>
      <w:r w:rsidR="00D41220" w:rsidRPr="00913AC7">
        <w:t xml:space="preserve"> компонентом 1</w:t>
      </w:r>
      <w:r w:rsidRPr="00913AC7">
        <w:t xml:space="preserve"> (емкость меньшего объема)</w:t>
      </w:r>
      <w:r w:rsidR="00D41220" w:rsidRPr="00913AC7">
        <w:t>.</w:t>
      </w:r>
    </w:p>
    <w:p w:rsidR="004C7DDA" w:rsidRPr="00913AC7" w:rsidRDefault="004C7DDA" w:rsidP="004C7DDA">
      <w:pPr>
        <w:pStyle w:val="a3"/>
        <w:numPr>
          <w:ilvl w:val="0"/>
          <w:numId w:val="2"/>
        </w:numPr>
        <w:jc w:val="both"/>
      </w:pPr>
      <w:r w:rsidRPr="00913AC7">
        <w:t xml:space="preserve">Полностью перелить </w:t>
      </w:r>
      <w:r w:rsidR="00D41220" w:rsidRPr="00913AC7">
        <w:t>компонент 1</w:t>
      </w:r>
      <w:r w:rsidR="001C494E" w:rsidRPr="00913AC7">
        <w:t xml:space="preserve"> в емкость с </w:t>
      </w:r>
      <w:r w:rsidR="00D41220" w:rsidRPr="00913AC7">
        <w:t>компонентом 2, п</w:t>
      </w:r>
      <w:r w:rsidRPr="00913AC7">
        <w:t>еремешать.</w:t>
      </w:r>
    </w:p>
    <w:p w:rsidR="004C7DDA" w:rsidRPr="00913AC7" w:rsidRDefault="004C7DDA" w:rsidP="004C7DDA">
      <w:pPr>
        <w:pStyle w:val="a3"/>
        <w:numPr>
          <w:ilvl w:val="0"/>
          <w:numId w:val="2"/>
        </w:numPr>
        <w:jc w:val="both"/>
      </w:pPr>
      <w:r w:rsidRPr="00913AC7">
        <w:t xml:space="preserve">Полученная </w:t>
      </w:r>
      <w:r w:rsidR="0074451B">
        <w:t>(</w:t>
      </w:r>
      <w:r w:rsidRPr="00913AC7">
        <w:t>после перемешивания в течение 5-10 минут</w:t>
      </w:r>
      <w:r w:rsidR="0074451B">
        <w:t>)</w:t>
      </w:r>
      <w:r w:rsidRPr="00913AC7">
        <w:t xml:space="preserve"> смесь компонентов (композиция) готова к применению.</w:t>
      </w:r>
    </w:p>
    <w:p w:rsidR="00BE14B3" w:rsidRPr="00913AC7" w:rsidRDefault="00BE14B3" w:rsidP="00BE14B3">
      <w:pPr>
        <w:pStyle w:val="a3"/>
        <w:jc w:val="both"/>
        <w:rPr>
          <w:sz w:val="20"/>
          <w:szCs w:val="20"/>
        </w:rPr>
      </w:pPr>
    </w:p>
    <w:p w:rsidR="00BE14B3" w:rsidRPr="00913AC7" w:rsidRDefault="00BE14B3" w:rsidP="00BE14B3">
      <w:pPr>
        <w:ind w:left="360"/>
        <w:jc w:val="center"/>
      </w:pPr>
      <w:r w:rsidRPr="00913AC7">
        <w:t>ОСНОВНЫЕ ТЕХНОЛОГИЧЕСКИЕ РЕКОМЕНДАЦИИ</w:t>
      </w:r>
    </w:p>
    <w:p w:rsidR="00044CEC" w:rsidRDefault="00044CEC" w:rsidP="00B7205B">
      <w:pPr>
        <w:pStyle w:val="a3"/>
        <w:numPr>
          <w:ilvl w:val="0"/>
          <w:numId w:val="6"/>
        </w:numPr>
        <w:jc w:val="both"/>
      </w:pPr>
      <w:r w:rsidRPr="00913AC7">
        <w:t>Следует избегать попа</w:t>
      </w:r>
      <w:r w:rsidR="00B7205B" w:rsidRPr="00913AC7">
        <w:t>дания воды в</w:t>
      </w:r>
      <w:r w:rsidR="00AF3F2B" w:rsidRPr="00913AC7">
        <w:t xml:space="preserve"> компоненты 1 и 2</w:t>
      </w:r>
      <w:r w:rsidR="003937B5" w:rsidRPr="00913AC7">
        <w:t xml:space="preserve">, а также в </w:t>
      </w:r>
      <w:r w:rsidRPr="00913AC7">
        <w:t xml:space="preserve">готовую </w:t>
      </w:r>
      <w:r w:rsidR="00B7205B" w:rsidRPr="00913AC7">
        <w:t xml:space="preserve">                    </w:t>
      </w:r>
      <w:r w:rsidR="00AF3F2B" w:rsidRPr="00913AC7">
        <w:t xml:space="preserve">      </w:t>
      </w:r>
      <w:r w:rsidR="00B7205B" w:rsidRPr="00913AC7">
        <w:t xml:space="preserve"> </w:t>
      </w:r>
      <w:r>
        <w:t>к применению композицию.</w:t>
      </w:r>
    </w:p>
    <w:p w:rsidR="00545B98" w:rsidRDefault="00262BAF" w:rsidP="00545B98">
      <w:pPr>
        <w:jc w:val="both"/>
      </w:pPr>
      <w:r w:rsidRPr="00526320">
        <w:rPr>
          <w:b/>
        </w:rPr>
        <w:t>Примечание:</w:t>
      </w:r>
      <w:r>
        <w:t xml:space="preserve"> Дополнительные рекомендации по работе с </w:t>
      </w:r>
      <w:r w:rsidR="00131722">
        <w:t>ком</w:t>
      </w:r>
      <w:bookmarkStart w:id="0" w:name="_GoBack"/>
      <w:bookmarkEnd w:id="0"/>
      <w:r w:rsidR="00131722">
        <w:t xml:space="preserve">позициями зависят </w:t>
      </w:r>
      <w:r w:rsidR="005B550B">
        <w:t xml:space="preserve">                      </w:t>
      </w:r>
      <w:r w:rsidR="00131722">
        <w:t xml:space="preserve">от применяемой модификации и </w:t>
      </w:r>
      <w:r>
        <w:t>изложены</w:t>
      </w:r>
      <w:r w:rsidR="00545B98">
        <w:t xml:space="preserve"> </w:t>
      </w:r>
      <w:r>
        <w:t>в</w:t>
      </w:r>
      <w:r w:rsidR="00131722">
        <w:t>о</w:t>
      </w:r>
      <w:r w:rsidR="00545B98">
        <w:t xml:space="preserve"> «Временной технологической инструкции</w:t>
      </w:r>
      <w:r w:rsidR="005B550B">
        <w:t xml:space="preserve">    </w:t>
      </w:r>
      <w:r w:rsidR="00545B98">
        <w:t xml:space="preserve"> по применению </w:t>
      </w:r>
      <w:r w:rsidR="00131722">
        <w:t>полимерных окрасочных</w:t>
      </w:r>
      <w:r w:rsidR="00545B98">
        <w:t xml:space="preserve"> комп</w:t>
      </w:r>
      <w:r w:rsidR="00131722">
        <w:t>озиций</w:t>
      </w:r>
      <w:r w:rsidR="00545B98">
        <w:t xml:space="preserve"> «ВЕКТОР </w:t>
      </w:r>
      <w:r w:rsidR="00131722">
        <w:t>- МУЛЬТИЛАК</w:t>
      </w:r>
      <w:r w:rsidR="00545B98">
        <w:t>»</w:t>
      </w:r>
      <w:r w:rsidR="00131722">
        <w:t>.</w:t>
      </w:r>
    </w:p>
    <w:p w:rsidR="004C7DDA" w:rsidRDefault="004C7DDA" w:rsidP="004C7DDA">
      <w:pPr>
        <w:ind w:left="360"/>
        <w:jc w:val="both"/>
      </w:pPr>
    </w:p>
    <w:p w:rsidR="004C7DDA" w:rsidRDefault="004C7DDA" w:rsidP="004C7DDA">
      <w:pPr>
        <w:ind w:left="360"/>
        <w:jc w:val="center"/>
      </w:pPr>
      <w:r>
        <w:t xml:space="preserve">НАНЕСЕНИЕ </w:t>
      </w:r>
      <w:r w:rsidR="00F26C0D">
        <w:t>КОМПОЗИЦИИ «ВЕКТОР - МУЛЬТИЛАК</w:t>
      </w:r>
      <w:r>
        <w:t>»</w:t>
      </w:r>
    </w:p>
    <w:p w:rsidR="000F0CBE" w:rsidRDefault="00DA2025" w:rsidP="00CB02D0">
      <w:pPr>
        <w:pStyle w:val="a3"/>
        <w:numPr>
          <w:ilvl w:val="0"/>
          <w:numId w:val="3"/>
        </w:numPr>
        <w:jc w:val="both"/>
      </w:pPr>
      <w:r>
        <w:t xml:space="preserve">Нанесение </w:t>
      </w:r>
      <w:r w:rsidR="008B5BE1">
        <w:t xml:space="preserve">композиции может осуществляться пневматическим или безвоздушным напылением, или </w:t>
      </w:r>
      <w:r w:rsidR="005B550B">
        <w:t>вручную – кистями и валиками</w:t>
      </w:r>
      <w:r w:rsidR="000F0CBE">
        <w:t>. Способ нанесения композиции выбирается производителем работ самостоятельно.</w:t>
      </w:r>
    </w:p>
    <w:p w:rsidR="004C7DDA" w:rsidRPr="00903501" w:rsidRDefault="002857D4" w:rsidP="00CB02D0">
      <w:pPr>
        <w:pStyle w:val="a3"/>
        <w:numPr>
          <w:ilvl w:val="0"/>
          <w:numId w:val="3"/>
        </w:numPr>
        <w:jc w:val="both"/>
      </w:pPr>
      <w:r w:rsidRPr="00903501">
        <w:t>Нанесение первого слоя композиции осуществляется не позднее, чем через 4 часа после подготовки поверхности.</w:t>
      </w:r>
    </w:p>
    <w:p w:rsidR="00CB02D0" w:rsidRDefault="00CB02D0" w:rsidP="00CB02D0">
      <w:pPr>
        <w:pStyle w:val="a3"/>
        <w:numPr>
          <w:ilvl w:val="0"/>
          <w:numId w:val="3"/>
        </w:numPr>
        <w:jc w:val="both"/>
      </w:pPr>
      <w:r>
        <w:t xml:space="preserve">Композиция наносится в </w:t>
      </w:r>
      <w:r w:rsidR="002A544C">
        <w:t>1</w:t>
      </w:r>
      <w:r w:rsidR="00A54E74">
        <w:t>-2</w:t>
      </w:r>
      <w:r w:rsidR="002A544C">
        <w:t xml:space="preserve"> сло</w:t>
      </w:r>
      <w:r w:rsidR="00A54E74">
        <w:t>я</w:t>
      </w:r>
      <w:r w:rsidR="00CF734B">
        <w:t xml:space="preserve"> </w:t>
      </w:r>
      <w:r w:rsidR="002A544C">
        <w:t xml:space="preserve">в качестве </w:t>
      </w:r>
      <w:r w:rsidR="00A54E74">
        <w:t>самостоятель</w:t>
      </w:r>
      <w:r w:rsidR="002A544C">
        <w:t xml:space="preserve">ного покрытия, в </w:t>
      </w:r>
      <w:r>
        <w:t>1</w:t>
      </w:r>
      <w:r w:rsidR="00526320">
        <w:t xml:space="preserve"> слой</w:t>
      </w:r>
      <w:r w:rsidR="00CF734B">
        <w:t xml:space="preserve">     </w:t>
      </w:r>
      <w:r>
        <w:t xml:space="preserve">в качестве </w:t>
      </w:r>
      <w:r w:rsidR="00CF734B">
        <w:t>грунтовки (пропитки) или лакового (финишного) слоя в составе защитного комплекса «Бетонур».</w:t>
      </w:r>
    </w:p>
    <w:p w:rsidR="00B4170E" w:rsidRDefault="00BA6385" w:rsidP="00132B05">
      <w:pPr>
        <w:pStyle w:val="a3"/>
        <w:numPr>
          <w:ilvl w:val="0"/>
          <w:numId w:val="3"/>
        </w:numPr>
        <w:jc w:val="both"/>
      </w:pPr>
      <w:r>
        <w:t xml:space="preserve">Время </w:t>
      </w:r>
      <w:r w:rsidR="001030C6">
        <w:t>межслойной сушки (</w:t>
      </w:r>
      <w:r>
        <w:t>«физического» высыхания покрытия</w:t>
      </w:r>
      <w:r w:rsidR="001030C6">
        <w:t xml:space="preserve">) </w:t>
      </w:r>
      <w:r>
        <w:t>до степени 3</w:t>
      </w:r>
      <w:r w:rsidR="00962350">
        <w:t xml:space="preserve">       </w:t>
      </w:r>
      <w:proofErr w:type="gramStart"/>
      <w:r w:rsidR="00962350">
        <w:t xml:space="preserve">  </w:t>
      </w:r>
      <w:r>
        <w:t xml:space="preserve"> (</w:t>
      </w:r>
      <w:proofErr w:type="gramEnd"/>
      <w:r>
        <w:t xml:space="preserve">до отлипа) по ГОСТ 19007-73 </w:t>
      </w:r>
      <w:r w:rsidR="00C92DA2">
        <w:t>определяется модификацией применяемой композиции</w:t>
      </w:r>
      <w:r w:rsidR="008B6E11">
        <w:t xml:space="preserve"> и составляет от 6 до 36 часов</w:t>
      </w:r>
      <w:r w:rsidR="00C92DA2">
        <w:t>.</w:t>
      </w:r>
    </w:p>
    <w:sectPr w:rsidR="00B4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2AD"/>
    <w:multiLevelType w:val="hybridMultilevel"/>
    <w:tmpl w:val="8F4E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8C"/>
    <w:multiLevelType w:val="hybridMultilevel"/>
    <w:tmpl w:val="3C46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574D"/>
    <w:multiLevelType w:val="hybridMultilevel"/>
    <w:tmpl w:val="3C46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74AE9"/>
    <w:multiLevelType w:val="hybridMultilevel"/>
    <w:tmpl w:val="D0DA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A6F3D"/>
    <w:multiLevelType w:val="hybridMultilevel"/>
    <w:tmpl w:val="0F3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788B"/>
    <w:multiLevelType w:val="hybridMultilevel"/>
    <w:tmpl w:val="0F3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B"/>
    <w:rsid w:val="00017AFE"/>
    <w:rsid w:val="00044CEC"/>
    <w:rsid w:val="000F0CBE"/>
    <w:rsid w:val="001030C6"/>
    <w:rsid w:val="00131722"/>
    <w:rsid w:val="00132B05"/>
    <w:rsid w:val="001648B9"/>
    <w:rsid w:val="001C494E"/>
    <w:rsid w:val="001E50A1"/>
    <w:rsid w:val="00262BAF"/>
    <w:rsid w:val="002857D4"/>
    <w:rsid w:val="002A544C"/>
    <w:rsid w:val="002E3341"/>
    <w:rsid w:val="002E7245"/>
    <w:rsid w:val="003937B5"/>
    <w:rsid w:val="004C7DDA"/>
    <w:rsid w:val="00526320"/>
    <w:rsid w:val="00545B98"/>
    <w:rsid w:val="00561D5B"/>
    <w:rsid w:val="00567A91"/>
    <w:rsid w:val="00586910"/>
    <w:rsid w:val="005B550B"/>
    <w:rsid w:val="007210EA"/>
    <w:rsid w:val="0074451B"/>
    <w:rsid w:val="0078256A"/>
    <w:rsid w:val="007E103B"/>
    <w:rsid w:val="00854050"/>
    <w:rsid w:val="00860E39"/>
    <w:rsid w:val="008B5BE1"/>
    <w:rsid w:val="008B6E11"/>
    <w:rsid w:val="00903501"/>
    <w:rsid w:val="00913AC7"/>
    <w:rsid w:val="00940796"/>
    <w:rsid w:val="00962350"/>
    <w:rsid w:val="00964313"/>
    <w:rsid w:val="00A12AA0"/>
    <w:rsid w:val="00A37C24"/>
    <w:rsid w:val="00A54E74"/>
    <w:rsid w:val="00A865D0"/>
    <w:rsid w:val="00AF3F2B"/>
    <w:rsid w:val="00B4170E"/>
    <w:rsid w:val="00B52A72"/>
    <w:rsid w:val="00B7205B"/>
    <w:rsid w:val="00BA6385"/>
    <w:rsid w:val="00BC2AFC"/>
    <w:rsid w:val="00BE14B3"/>
    <w:rsid w:val="00C77878"/>
    <w:rsid w:val="00C92DA2"/>
    <w:rsid w:val="00CB02D0"/>
    <w:rsid w:val="00CB4F02"/>
    <w:rsid w:val="00CE5C4E"/>
    <w:rsid w:val="00CF734B"/>
    <w:rsid w:val="00D41220"/>
    <w:rsid w:val="00D52934"/>
    <w:rsid w:val="00D87F26"/>
    <w:rsid w:val="00DA2025"/>
    <w:rsid w:val="00DC6B6D"/>
    <w:rsid w:val="00E578D3"/>
    <w:rsid w:val="00E951A6"/>
    <w:rsid w:val="00EB08C0"/>
    <w:rsid w:val="00F26C0D"/>
    <w:rsid w:val="00F4550E"/>
    <w:rsid w:val="00F81F59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DF9B"/>
  <w15:chartTrackingRefBased/>
  <w15:docId w15:val="{D967AA67-81F3-4128-97BB-D627219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8C8A-CE38-4207-88A3-2ACCF3B9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2017-03-02T09:51:00Z</dcterms:created>
  <dcterms:modified xsi:type="dcterms:W3CDTF">2017-03-06T11:01:00Z</dcterms:modified>
</cp:coreProperties>
</file>